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BF2" w:rsidRPr="00654305" w:rsidRDefault="00654305" w:rsidP="00654305">
      <w:pPr>
        <w:jc w:val="center"/>
        <w:rPr>
          <w:b/>
        </w:rPr>
      </w:pPr>
      <w:bookmarkStart w:id="0" w:name="_GoBack"/>
      <w:bookmarkEnd w:id="0"/>
      <w:r w:rsidRPr="00654305">
        <w:rPr>
          <w:b/>
        </w:rPr>
        <w:t xml:space="preserve">North Yorkshire Community Learning Partnership </w:t>
      </w:r>
    </w:p>
    <w:p w:rsidR="00654305" w:rsidRPr="00654305" w:rsidRDefault="00654305" w:rsidP="00654305">
      <w:pPr>
        <w:jc w:val="center"/>
        <w:rPr>
          <w:b/>
        </w:rPr>
      </w:pPr>
      <w:r w:rsidRPr="00654305">
        <w:rPr>
          <w:b/>
        </w:rPr>
        <w:t>Provision Planning Template for Priority Groups 2013/14</w:t>
      </w:r>
    </w:p>
    <w:p w:rsidR="00654305" w:rsidRPr="00654305" w:rsidRDefault="00654305" w:rsidP="00654305">
      <w:pPr>
        <w:jc w:val="center"/>
        <w:rPr>
          <w:b/>
        </w:rPr>
      </w:pPr>
      <w:r w:rsidRPr="00654305">
        <w:rPr>
          <w:b/>
        </w:rPr>
        <w:t xml:space="preserve">Area: </w:t>
      </w:r>
    </w:p>
    <w:p w:rsidR="00654305" w:rsidRPr="00654305" w:rsidRDefault="00654305" w:rsidP="00654305">
      <w:pPr>
        <w:jc w:val="center"/>
        <w:rPr>
          <w:b/>
        </w:rPr>
      </w:pPr>
      <w:r w:rsidRPr="00654305">
        <w:rPr>
          <w:b/>
        </w:rPr>
        <w:t xml:space="preserve">Provider: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02"/>
        <w:gridCol w:w="4256"/>
        <w:gridCol w:w="4256"/>
      </w:tblGrid>
      <w:tr w:rsidR="00654305" w:rsidRPr="00654305" w:rsidTr="00654305">
        <w:tc>
          <w:tcPr>
            <w:tcW w:w="5302" w:type="dxa"/>
          </w:tcPr>
          <w:p w:rsidR="00654305" w:rsidRPr="00654305" w:rsidRDefault="00654305" w:rsidP="00654305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43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CLP Priority Group </w:t>
            </w:r>
          </w:p>
        </w:tc>
        <w:tc>
          <w:tcPr>
            <w:tcW w:w="4256" w:type="dxa"/>
          </w:tcPr>
          <w:p w:rsidR="00654305" w:rsidRPr="00654305" w:rsidRDefault="00654305" w:rsidP="00654305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Provision already offered – see note 1</w:t>
            </w:r>
          </w:p>
        </w:tc>
        <w:tc>
          <w:tcPr>
            <w:tcW w:w="4256" w:type="dxa"/>
          </w:tcPr>
          <w:p w:rsidR="00654305" w:rsidRPr="00654305" w:rsidRDefault="00654305" w:rsidP="00654305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Provision proposed – see note 2</w:t>
            </w:r>
          </w:p>
        </w:tc>
      </w:tr>
      <w:tr w:rsidR="00654305" w:rsidRPr="00654305" w:rsidTr="00654305">
        <w:tc>
          <w:tcPr>
            <w:tcW w:w="5302" w:type="dxa"/>
          </w:tcPr>
          <w:p w:rsidR="00654305" w:rsidRPr="00654305" w:rsidRDefault="00654305" w:rsidP="006543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54305">
              <w:rPr>
                <w:rFonts w:asciiTheme="minorHAnsi" w:hAnsiTheme="minorHAnsi" w:cstheme="minorHAnsi"/>
                <w:sz w:val="22"/>
                <w:szCs w:val="22"/>
              </w:rPr>
              <w:t xml:space="preserve"> Neighbourhoods with participation rates significantly below the local average and with high levels of basic and other skills needs including Family Learning designed to have learning outcomes for both parents/carers and their children </w:t>
            </w:r>
          </w:p>
        </w:tc>
        <w:tc>
          <w:tcPr>
            <w:tcW w:w="4256" w:type="dxa"/>
          </w:tcPr>
          <w:p w:rsidR="00654305" w:rsidRPr="00654305" w:rsidRDefault="00654305" w:rsidP="006543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6" w:type="dxa"/>
          </w:tcPr>
          <w:p w:rsidR="00654305" w:rsidRPr="00654305" w:rsidRDefault="00654305" w:rsidP="006543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4305" w:rsidRPr="00654305" w:rsidTr="00654305">
        <w:tc>
          <w:tcPr>
            <w:tcW w:w="5302" w:type="dxa"/>
          </w:tcPr>
          <w:p w:rsidR="00654305" w:rsidRPr="00654305" w:rsidRDefault="00654305" w:rsidP="006543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54305">
              <w:rPr>
                <w:rFonts w:asciiTheme="minorHAnsi" w:hAnsiTheme="minorHAnsi" w:cstheme="minorHAnsi"/>
                <w:sz w:val="22"/>
                <w:szCs w:val="22"/>
              </w:rPr>
              <w:t xml:space="preserve">The most rural parts of the county </w:t>
            </w:r>
          </w:p>
        </w:tc>
        <w:tc>
          <w:tcPr>
            <w:tcW w:w="4256" w:type="dxa"/>
          </w:tcPr>
          <w:p w:rsidR="00654305" w:rsidRPr="00654305" w:rsidRDefault="00654305" w:rsidP="006543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6" w:type="dxa"/>
          </w:tcPr>
          <w:p w:rsidR="00654305" w:rsidRPr="00654305" w:rsidRDefault="00654305" w:rsidP="006543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4305" w:rsidRPr="00654305" w:rsidTr="00654305">
        <w:tc>
          <w:tcPr>
            <w:tcW w:w="5302" w:type="dxa"/>
          </w:tcPr>
          <w:p w:rsidR="00654305" w:rsidRPr="00654305" w:rsidRDefault="00654305" w:rsidP="006543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54305">
              <w:rPr>
                <w:rFonts w:asciiTheme="minorHAnsi" w:hAnsiTheme="minorHAnsi" w:cstheme="minorHAnsi"/>
                <w:sz w:val="22"/>
                <w:szCs w:val="22"/>
              </w:rPr>
              <w:t xml:space="preserve">Provision for people with learning difficulties and/or disabilities including adults with mental health issues </w:t>
            </w:r>
          </w:p>
        </w:tc>
        <w:tc>
          <w:tcPr>
            <w:tcW w:w="4256" w:type="dxa"/>
          </w:tcPr>
          <w:p w:rsidR="00654305" w:rsidRPr="00654305" w:rsidRDefault="00654305" w:rsidP="006543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6" w:type="dxa"/>
          </w:tcPr>
          <w:p w:rsidR="00654305" w:rsidRPr="00654305" w:rsidRDefault="00654305" w:rsidP="006543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4305" w:rsidRPr="00654305" w:rsidTr="00654305">
        <w:tc>
          <w:tcPr>
            <w:tcW w:w="5302" w:type="dxa"/>
          </w:tcPr>
          <w:p w:rsidR="00654305" w:rsidRPr="00654305" w:rsidRDefault="00654305" w:rsidP="006543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54305">
              <w:rPr>
                <w:rFonts w:asciiTheme="minorHAnsi" w:hAnsiTheme="minorHAnsi" w:cstheme="minorHAnsi"/>
                <w:sz w:val="22"/>
                <w:szCs w:val="22"/>
              </w:rPr>
              <w:t>Provision that will impact positively on people’s quality of life, health and well-being</w:t>
            </w:r>
          </w:p>
        </w:tc>
        <w:tc>
          <w:tcPr>
            <w:tcW w:w="4256" w:type="dxa"/>
          </w:tcPr>
          <w:p w:rsidR="00654305" w:rsidRPr="00654305" w:rsidRDefault="00654305" w:rsidP="006543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6" w:type="dxa"/>
          </w:tcPr>
          <w:p w:rsidR="00654305" w:rsidRPr="00654305" w:rsidRDefault="00654305" w:rsidP="006543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4305" w:rsidRPr="00654305" w:rsidTr="00654305">
        <w:tc>
          <w:tcPr>
            <w:tcW w:w="5302" w:type="dxa"/>
          </w:tcPr>
          <w:p w:rsidR="00654305" w:rsidRPr="00654305" w:rsidRDefault="007F4467" w:rsidP="006543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Older adults</w:t>
            </w:r>
          </w:p>
        </w:tc>
        <w:tc>
          <w:tcPr>
            <w:tcW w:w="4256" w:type="dxa"/>
          </w:tcPr>
          <w:p w:rsidR="00654305" w:rsidRPr="00654305" w:rsidRDefault="00654305" w:rsidP="006543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6" w:type="dxa"/>
          </w:tcPr>
          <w:p w:rsidR="00654305" w:rsidRPr="00654305" w:rsidRDefault="00654305" w:rsidP="006543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4305" w:rsidRPr="00654305" w:rsidTr="00654305">
        <w:tc>
          <w:tcPr>
            <w:tcW w:w="5302" w:type="dxa"/>
          </w:tcPr>
          <w:p w:rsidR="00654305" w:rsidRPr="00654305" w:rsidRDefault="00654305" w:rsidP="006543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54305">
              <w:rPr>
                <w:rFonts w:asciiTheme="minorHAnsi" w:hAnsiTheme="minorHAnsi" w:cstheme="minorHAnsi"/>
                <w:sz w:val="22"/>
                <w:szCs w:val="22"/>
              </w:rPr>
              <w:t xml:space="preserve">Males </w:t>
            </w:r>
          </w:p>
        </w:tc>
        <w:tc>
          <w:tcPr>
            <w:tcW w:w="4256" w:type="dxa"/>
          </w:tcPr>
          <w:p w:rsidR="00654305" w:rsidRPr="00654305" w:rsidRDefault="00654305" w:rsidP="006543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6" w:type="dxa"/>
          </w:tcPr>
          <w:p w:rsidR="00654305" w:rsidRPr="00654305" w:rsidRDefault="00654305" w:rsidP="006543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4305" w:rsidRPr="00654305" w:rsidTr="00654305">
        <w:tc>
          <w:tcPr>
            <w:tcW w:w="5302" w:type="dxa"/>
          </w:tcPr>
          <w:p w:rsidR="00654305" w:rsidRPr="00654305" w:rsidRDefault="00654305" w:rsidP="006543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54305">
              <w:rPr>
                <w:rFonts w:asciiTheme="minorHAnsi" w:hAnsiTheme="minorHAnsi" w:cstheme="minorHAnsi"/>
                <w:sz w:val="22"/>
                <w:szCs w:val="22"/>
              </w:rPr>
              <w:t xml:space="preserve">Adults from Black and Minority Ethnic backgrounds </w:t>
            </w:r>
          </w:p>
        </w:tc>
        <w:tc>
          <w:tcPr>
            <w:tcW w:w="4256" w:type="dxa"/>
          </w:tcPr>
          <w:p w:rsidR="00654305" w:rsidRPr="00654305" w:rsidRDefault="00654305" w:rsidP="006543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6" w:type="dxa"/>
          </w:tcPr>
          <w:p w:rsidR="00654305" w:rsidRPr="00654305" w:rsidRDefault="00654305" w:rsidP="006543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4305" w:rsidRPr="00654305" w:rsidTr="00654305">
        <w:tc>
          <w:tcPr>
            <w:tcW w:w="5302" w:type="dxa"/>
          </w:tcPr>
          <w:p w:rsidR="00654305" w:rsidRPr="00654305" w:rsidRDefault="00654305" w:rsidP="00654305">
            <w:pPr>
              <w:pStyle w:val="Default"/>
              <w:spacing w:after="3"/>
              <w:rPr>
                <w:rFonts w:asciiTheme="minorHAnsi" w:hAnsiTheme="minorHAnsi" w:cstheme="minorHAnsi"/>
                <w:sz w:val="22"/>
                <w:szCs w:val="22"/>
              </w:rPr>
            </w:pPr>
            <w:r w:rsidRPr="00654305">
              <w:rPr>
                <w:rFonts w:asciiTheme="minorHAnsi" w:hAnsiTheme="minorHAnsi" w:cstheme="minorHAnsi"/>
                <w:sz w:val="22"/>
                <w:szCs w:val="22"/>
              </w:rPr>
              <w:t xml:space="preserve">Work related Skills </w:t>
            </w:r>
            <w:proofErr w:type="spellStart"/>
            <w:r w:rsidRPr="00654305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r w:rsidRPr="00654305">
              <w:rPr>
                <w:rFonts w:asciiTheme="minorHAnsi" w:hAnsiTheme="minorHAnsi" w:cstheme="minorHAnsi"/>
                <w:sz w:val="22"/>
                <w:szCs w:val="22"/>
              </w:rPr>
              <w:t xml:space="preserve"> IT, Literacy, Numeracy and work-related personal skills with a focus on progression into further learning and/or work. </w:t>
            </w:r>
          </w:p>
        </w:tc>
        <w:tc>
          <w:tcPr>
            <w:tcW w:w="4256" w:type="dxa"/>
          </w:tcPr>
          <w:p w:rsidR="00654305" w:rsidRPr="00654305" w:rsidRDefault="00654305" w:rsidP="00654305">
            <w:pPr>
              <w:pStyle w:val="Default"/>
              <w:spacing w:after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6" w:type="dxa"/>
          </w:tcPr>
          <w:p w:rsidR="00654305" w:rsidRPr="00654305" w:rsidRDefault="00654305" w:rsidP="00654305">
            <w:pPr>
              <w:pStyle w:val="Default"/>
              <w:spacing w:after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4305" w:rsidRPr="00654305" w:rsidTr="00654305">
        <w:tc>
          <w:tcPr>
            <w:tcW w:w="5302" w:type="dxa"/>
          </w:tcPr>
          <w:p w:rsidR="00654305" w:rsidRPr="00654305" w:rsidRDefault="00654305" w:rsidP="00654305">
            <w:pPr>
              <w:pStyle w:val="Default"/>
              <w:spacing w:after="3"/>
              <w:rPr>
                <w:rFonts w:asciiTheme="minorHAnsi" w:hAnsiTheme="minorHAnsi" w:cstheme="minorHAnsi"/>
                <w:sz w:val="22"/>
                <w:szCs w:val="22"/>
              </w:rPr>
            </w:pPr>
            <w:r w:rsidRPr="00654305">
              <w:rPr>
                <w:rFonts w:asciiTheme="minorHAnsi" w:hAnsiTheme="minorHAnsi" w:cstheme="minorHAnsi"/>
                <w:sz w:val="22"/>
                <w:szCs w:val="22"/>
              </w:rPr>
              <w:t xml:space="preserve">Work Clubs looking at CV development, interview techniques, job search, personal impact etc. </w:t>
            </w:r>
          </w:p>
        </w:tc>
        <w:tc>
          <w:tcPr>
            <w:tcW w:w="4256" w:type="dxa"/>
          </w:tcPr>
          <w:p w:rsidR="00654305" w:rsidRPr="00654305" w:rsidRDefault="00654305" w:rsidP="00654305">
            <w:pPr>
              <w:pStyle w:val="Default"/>
              <w:spacing w:after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6" w:type="dxa"/>
          </w:tcPr>
          <w:p w:rsidR="00654305" w:rsidRPr="00654305" w:rsidRDefault="00654305" w:rsidP="00654305">
            <w:pPr>
              <w:pStyle w:val="Default"/>
              <w:spacing w:after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4305" w:rsidRPr="00654305" w:rsidTr="00654305">
        <w:tc>
          <w:tcPr>
            <w:tcW w:w="5302" w:type="dxa"/>
          </w:tcPr>
          <w:p w:rsidR="00654305" w:rsidRPr="00654305" w:rsidRDefault="00654305" w:rsidP="00654305">
            <w:pPr>
              <w:pStyle w:val="Default"/>
              <w:spacing w:after="3"/>
              <w:rPr>
                <w:rFonts w:asciiTheme="minorHAnsi" w:hAnsiTheme="minorHAnsi" w:cstheme="minorHAnsi"/>
                <w:sz w:val="22"/>
                <w:szCs w:val="22"/>
              </w:rPr>
            </w:pPr>
            <w:r w:rsidRPr="00654305">
              <w:rPr>
                <w:rFonts w:asciiTheme="minorHAnsi" w:hAnsiTheme="minorHAnsi" w:cstheme="minorHAnsi"/>
                <w:sz w:val="22"/>
                <w:szCs w:val="22"/>
              </w:rPr>
              <w:t xml:space="preserve">Provision designed to help participants to run their own businesses. </w:t>
            </w:r>
          </w:p>
        </w:tc>
        <w:tc>
          <w:tcPr>
            <w:tcW w:w="4256" w:type="dxa"/>
          </w:tcPr>
          <w:p w:rsidR="00654305" w:rsidRPr="00654305" w:rsidRDefault="00654305" w:rsidP="00654305">
            <w:pPr>
              <w:pStyle w:val="Default"/>
              <w:spacing w:after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6" w:type="dxa"/>
          </w:tcPr>
          <w:p w:rsidR="00654305" w:rsidRPr="00654305" w:rsidRDefault="00654305" w:rsidP="00654305">
            <w:pPr>
              <w:pStyle w:val="Default"/>
              <w:spacing w:after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4305" w:rsidRPr="00654305" w:rsidTr="00654305">
        <w:tc>
          <w:tcPr>
            <w:tcW w:w="5302" w:type="dxa"/>
          </w:tcPr>
          <w:p w:rsidR="00654305" w:rsidRPr="00654305" w:rsidRDefault="00654305" w:rsidP="00654305">
            <w:pPr>
              <w:pStyle w:val="Default"/>
              <w:spacing w:after="3"/>
              <w:rPr>
                <w:rFonts w:asciiTheme="minorHAnsi" w:hAnsiTheme="minorHAnsi" w:cstheme="minorHAnsi"/>
                <w:sz w:val="22"/>
                <w:szCs w:val="22"/>
              </w:rPr>
            </w:pPr>
            <w:r w:rsidRPr="00654305">
              <w:rPr>
                <w:rFonts w:asciiTheme="minorHAnsi" w:hAnsiTheme="minorHAnsi" w:cstheme="minorHAnsi"/>
                <w:sz w:val="22"/>
                <w:szCs w:val="22"/>
              </w:rPr>
              <w:t xml:space="preserve">English for Speakers of Other Languages (ESOL) </w:t>
            </w:r>
          </w:p>
        </w:tc>
        <w:tc>
          <w:tcPr>
            <w:tcW w:w="4256" w:type="dxa"/>
          </w:tcPr>
          <w:p w:rsidR="00654305" w:rsidRPr="00654305" w:rsidRDefault="00654305" w:rsidP="00654305">
            <w:pPr>
              <w:pStyle w:val="Default"/>
              <w:spacing w:after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6" w:type="dxa"/>
          </w:tcPr>
          <w:p w:rsidR="00654305" w:rsidRPr="00654305" w:rsidRDefault="00654305" w:rsidP="00654305">
            <w:pPr>
              <w:pStyle w:val="Default"/>
              <w:spacing w:after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4305" w:rsidRPr="00654305" w:rsidTr="00654305">
        <w:tc>
          <w:tcPr>
            <w:tcW w:w="5302" w:type="dxa"/>
          </w:tcPr>
          <w:p w:rsidR="00654305" w:rsidRPr="00654305" w:rsidRDefault="00654305" w:rsidP="00654305">
            <w:pPr>
              <w:pStyle w:val="Default"/>
              <w:spacing w:after="3"/>
              <w:rPr>
                <w:rFonts w:asciiTheme="minorHAnsi" w:hAnsiTheme="minorHAnsi" w:cstheme="minorHAnsi"/>
                <w:sz w:val="22"/>
                <w:szCs w:val="22"/>
              </w:rPr>
            </w:pPr>
            <w:r w:rsidRPr="00654305">
              <w:rPr>
                <w:rFonts w:asciiTheme="minorHAnsi" w:hAnsiTheme="minorHAnsi" w:cstheme="minorHAnsi"/>
                <w:sz w:val="22"/>
                <w:szCs w:val="22"/>
              </w:rPr>
              <w:t xml:space="preserve">Community capacity building provision </w:t>
            </w:r>
            <w:proofErr w:type="spellStart"/>
            <w:r w:rsidRPr="00654305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r w:rsidRPr="00654305">
              <w:rPr>
                <w:rFonts w:asciiTheme="minorHAnsi" w:hAnsiTheme="minorHAnsi" w:cstheme="minorHAnsi"/>
                <w:sz w:val="22"/>
                <w:szCs w:val="22"/>
              </w:rPr>
              <w:t xml:space="preserve"> volunteer development provision, increasing civic participation and mentoring. </w:t>
            </w:r>
          </w:p>
        </w:tc>
        <w:tc>
          <w:tcPr>
            <w:tcW w:w="4256" w:type="dxa"/>
          </w:tcPr>
          <w:p w:rsidR="00654305" w:rsidRPr="00654305" w:rsidRDefault="00654305" w:rsidP="00654305">
            <w:pPr>
              <w:pStyle w:val="Default"/>
              <w:spacing w:after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6" w:type="dxa"/>
          </w:tcPr>
          <w:p w:rsidR="00654305" w:rsidRPr="00654305" w:rsidRDefault="00654305" w:rsidP="00654305">
            <w:pPr>
              <w:pStyle w:val="Default"/>
              <w:spacing w:after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4305" w:rsidRPr="00654305" w:rsidTr="00654305">
        <w:tc>
          <w:tcPr>
            <w:tcW w:w="5302" w:type="dxa"/>
          </w:tcPr>
          <w:p w:rsidR="00654305" w:rsidRPr="00654305" w:rsidRDefault="00654305" w:rsidP="00654305">
            <w:pPr>
              <w:pStyle w:val="Default"/>
              <w:spacing w:after="3"/>
              <w:rPr>
                <w:rFonts w:asciiTheme="minorHAnsi" w:hAnsiTheme="minorHAnsi" w:cstheme="minorHAnsi"/>
                <w:sz w:val="22"/>
                <w:szCs w:val="22"/>
              </w:rPr>
            </w:pPr>
            <w:r w:rsidRPr="0065430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Capacity building for community &amp; voluntary organisations to be able to deliver learning. </w:t>
            </w:r>
          </w:p>
        </w:tc>
        <w:tc>
          <w:tcPr>
            <w:tcW w:w="4256" w:type="dxa"/>
          </w:tcPr>
          <w:p w:rsidR="00654305" w:rsidRPr="00654305" w:rsidRDefault="00654305" w:rsidP="00654305">
            <w:pPr>
              <w:pStyle w:val="Default"/>
              <w:spacing w:after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6" w:type="dxa"/>
          </w:tcPr>
          <w:p w:rsidR="00654305" w:rsidRPr="00654305" w:rsidRDefault="00654305" w:rsidP="00654305">
            <w:pPr>
              <w:pStyle w:val="Default"/>
              <w:spacing w:after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4305" w:rsidRPr="00654305" w:rsidTr="00654305">
        <w:tc>
          <w:tcPr>
            <w:tcW w:w="5302" w:type="dxa"/>
          </w:tcPr>
          <w:p w:rsidR="00654305" w:rsidRPr="00654305" w:rsidRDefault="00654305" w:rsidP="00654305">
            <w:pPr>
              <w:pStyle w:val="Default"/>
              <w:spacing w:after="3"/>
              <w:rPr>
                <w:rFonts w:asciiTheme="minorHAnsi" w:hAnsiTheme="minorHAnsi" w:cstheme="minorHAnsi"/>
                <w:sz w:val="22"/>
                <w:szCs w:val="22"/>
              </w:rPr>
            </w:pPr>
            <w:r w:rsidRPr="00654305">
              <w:rPr>
                <w:rFonts w:asciiTheme="minorHAnsi" w:hAnsiTheme="minorHAnsi" w:cstheme="minorHAnsi"/>
                <w:sz w:val="22"/>
                <w:szCs w:val="22"/>
              </w:rPr>
              <w:t xml:space="preserve">Vocational sector specific provision that provides a gateway (first step) to local employment opportunities. </w:t>
            </w:r>
          </w:p>
        </w:tc>
        <w:tc>
          <w:tcPr>
            <w:tcW w:w="4256" w:type="dxa"/>
          </w:tcPr>
          <w:p w:rsidR="00654305" w:rsidRPr="00654305" w:rsidRDefault="00654305" w:rsidP="00654305">
            <w:pPr>
              <w:pStyle w:val="Default"/>
              <w:spacing w:after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6" w:type="dxa"/>
          </w:tcPr>
          <w:p w:rsidR="00654305" w:rsidRPr="00654305" w:rsidRDefault="00654305" w:rsidP="00654305">
            <w:pPr>
              <w:pStyle w:val="Default"/>
              <w:spacing w:after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4305" w:rsidRPr="00654305" w:rsidTr="00654305">
        <w:tc>
          <w:tcPr>
            <w:tcW w:w="5302" w:type="dxa"/>
          </w:tcPr>
          <w:p w:rsidR="00654305" w:rsidRPr="00654305" w:rsidRDefault="00654305" w:rsidP="006543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54305">
              <w:rPr>
                <w:rFonts w:asciiTheme="minorHAnsi" w:hAnsiTheme="minorHAnsi" w:cstheme="minorHAnsi"/>
                <w:sz w:val="22"/>
                <w:szCs w:val="22"/>
              </w:rPr>
              <w:t>1 to 1 Mentoring to support effective transition between levels of learning and work.</w:t>
            </w:r>
          </w:p>
        </w:tc>
        <w:tc>
          <w:tcPr>
            <w:tcW w:w="4256" w:type="dxa"/>
          </w:tcPr>
          <w:p w:rsidR="00654305" w:rsidRPr="00654305" w:rsidRDefault="00654305" w:rsidP="006543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6" w:type="dxa"/>
          </w:tcPr>
          <w:p w:rsidR="00654305" w:rsidRPr="00654305" w:rsidRDefault="00654305" w:rsidP="006543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54305" w:rsidRDefault="00654305" w:rsidP="00654305">
      <w:pPr>
        <w:rPr>
          <w:rFonts w:cstheme="minorHAnsi"/>
        </w:rPr>
      </w:pPr>
    </w:p>
    <w:p w:rsidR="00654305" w:rsidRDefault="00654305" w:rsidP="00654305">
      <w:pPr>
        <w:rPr>
          <w:rFonts w:cstheme="minorHAnsi"/>
        </w:rPr>
      </w:pPr>
      <w:r>
        <w:rPr>
          <w:rFonts w:cstheme="minorHAnsi"/>
        </w:rPr>
        <w:t>Notes:</w:t>
      </w:r>
    </w:p>
    <w:p w:rsidR="00654305" w:rsidRDefault="00654305" w:rsidP="00654305">
      <w:pPr>
        <w:rPr>
          <w:rFonts w:cstheme="minorHAnsi"/>
        </w:rPr>
      </w:pPr>
      <w:r>
        <w:rPr>
          <w:rFonts w:cstheme="minorHAnsi"/>
        </w:rPr>
        <w:t>1 – It is acknowledged that much community learning provision has already been developed by providers in response to the priority groups now con</w:t>
      </w:r>
      <w:r w:rsidR="00593BEA">
        <w:rPr>
          <w:rFonts w:cstheme="minorHAnsi"/>
        </w:rPr>
        <w:t xml:space="preserve">firmed by the CLP. This can be described </w:t>
      </w:r>
      <w:r>
        <w:rPr>
          <w:rFonts w:cstheme="minorHAnsi"/>
        </w:rPr>
        <w:t xml:space="preserve">here. If the provision is not supported by community learning funding please identify the funding source. </w:t>
      </w:r>
    </w:p>
    <w:p w:rsidR="00B51D1C" w:rsidRDefault="00654305" w:rsidP="00654305">
      <w:pPr>
        <w:rPr>
          <w:rFonts w:cstheme="minorHAnsi"/>
        </w:rPr>
      </w:pPr>
      <w:r>
        <w:rPr>
          <w:rFonts w:cstheme="minorHAnsi"/>
        </w:rPr>
        <w:t xml:space="preserve">2 </w:t>
      </w:r>
      <w:r w:rsidR="00B51D1C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B51D1C">
        <w:rPr>
          <w:rFonts w:cstheme="minorHAnsi"/>
        </w:rPr>
        <w:t xml:space="preserve">This is the opportunity to propose new provision in response to the needs of the priority groups identified. Please use different letters to specify: </w:t>
      </w:r>
    </w:p>
    <w:p w:rsidR="00B51D1C" w:rsidRDefault="00B51D1C" w:rsidP="00B51D1C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Provision that the provider wishes to run and can be supported using its existing community learning funding;</w:t>
      </w:r>
    </w:p>
    <w:p w:rsidR="00B51D1C" w:rsidRDefault="00B51D1C" w:rsidP="00B51D1C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Provision that the provider wishes to run but cannot support  using its existing community learning funding;</w:t>
      </w:r>
    </w:p>
    <w:p w:rsidR="00B51D1C" w:rsidRDefault="00B51D1C" w:rsidP="00B51D1C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Provision that any provider feels to be made but is not in a position itself to provide;</w:t>
      </w:r>
    </w:p>
    <w:p w:rsidR="00B51D1C" w:rsidRDefault="00B51D1C" w:rsidP="00B51D1C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Some other alternative – please specify. </w:t>
      </w:r>
    </w:p>
    <w:p w:rsidR="00654305" w:rsidRPr="00B51D1C" w:rsidRDefault="00B51D1C" w:rsidP="00B51D1C">
      <w:pPr>
        <w:rPr>
          <w:rFonts w:cstheme="minorHAnsi"/>
        </w:rPr>
      </w:pPr>
      <w:r>
        <w:rPr>
          <w:rFonts w:cstheme="minorHAnsi"/>
        </w:rPr>
        <w:t xml:space="preserve">3 – It is suggested that this information is shared </w:t>
      </w:r>
      <w:r w:rsidR="005254FA">
        <w:rPr>
          <w:rFonts w:cstheme="minorHAnsi"/>
        </w:rPr>
        <w:t xml:space="preserve">in advance of, </w:t>
      </w:r>
      <w:r>
        <w:rPr>
          <w:rFonts w:cstheme="minorHAnsi"/>
        </w:rPr>
        <w:t xml:space="preserve">and </w:t>
      </w:r>
      <w:r w:rsidR="005254FA">
        <w:rPr>
          <w:rFonts w:cstheme="minorHAnsi"/>
        </w:rPr>
        <w:t xml:space="preserve">then </w:t>
      </w:r>
      <w:r>
        <w:rPr>
          <w:rFonts w:cstheme="minorHAnsi"/>
        </w:rPr>
        <w:t>discussed further at</w:t>
      </w:r>
      <w:r w:rsidR="005254FA">
        <w:rPr>
          <w:rFonts w:cstheme="minorHAnsi"/>
        </w:rPr>
        <w:t>,</w:t>
      </w:r>
      <w:r>
        <w:rPr>
          <w:rFonts w:cstheme="minorHAnsi"/>
        </w:rPr>
        <w:t xml:space="preserve"> the next CLP Area Meeting. </w:t>
      </w:r>
      <w:r w:rsidRPr="00B51D1C">
        <w:rPr>
          <w:rFonts w:cstheme="minorHAnsi"/>
        </w:rPr>
        <w:t xml:space="preserve"> </w:t>
      </w:r>
    </w:p>
    <w:p w:rsidR="00B51D1C" w:rsidRPr="00B51D1C" w:rsidRDefault="00B51D1C" w:rsidP="00B51D1C">
      <w:pPr>
        <w:rPr>
          <w:rFonts w:cstheme="minorHAnsi"/>
        </w:rPr>
      </w:pPr>
    </w:p>
    <w:sectPr w:rsidR="00B51D1C" w:rsidRPr="00B51D1C" w:rsidSect="0065430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2877"/>
    <w:multiLevelType w:val="hybridMultilevel"/>
    <w:tmpl w:val="57BC52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64791"/>
    <w:multiLevelType w:val="hybridMultilevel"/>
    <w:tmpl w:val="904653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9D0284"/>
    <w:multiLevelType w:val="hybridMultilevel"/>
    <w:tmpl w:val="4BAED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05"/>
    <w:rsid w:val="005254FA"/>
    <w:rsid w:val="00593BEA"/>
    <w:rsid w:val="00654305"/>
    <w:rsid w:val="007E4BF2"/>
    <w:rsid w:val="007F4467"/>
    <w:rsid w:val="00B51D1C"/>
    <w:rsid w:val="00DD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F3BF9E-101F-42CB-A2E7-22DE7FF1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43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54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1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McGee</dc:creator>
  <cp:lastModifiedBy>Simon Watterson</cp:lastModifiedBy>
  <cp:revision>2</cp:revision>
  <dcterms:created xsi:type="dcterms:W3CDTF">2015-08-10T10:26:00Z</dcterms:created>
  <dcterms:modified xsi:type="dcterms:W3CDTF">2015-08-10T10:26:00Z</dcterms:modified>
</cp:coreProperties>
</file>